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drawing>
          <wp:inline distT="0" distB="0" distL="0" distR="0">
            <wp:extent cx="1428750" cy="781050"/>
            <wp:effectExtent t="0" r="0" b="0" l="0"/>
            <wp:docPr id="1" name="logo" descr="Logo C&amp;Co Formation" title="C&amp;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781050"/>
                    </a:xfrm>
                    <a:prstGeom prst="rect">
                      <a:avLst/>
                    </a:prstGeom>
                  </pic:spPr>
                </pic:pic>
              </a:graphicData>
            </a:graphic>
          </wp:inline>
        </w:drawing>
      </w:r>
    </w:p>
    <w:p>
      <w:pPr>
        <w:spacing w:after="60" w:before="140"/>
        <w:jc w:val="center"/>
      </w:pPr>
      <w:r>
        <w:rPr>
          <w:rFonts w:ascii="Arial" w:cs="Arial" w:eastAsia="Arial" w:hAnsi="Arial"/>
          <w:b/>
          <w:bCs/>
          <w:color w:val="1C608C"/>
          <w:sz w:val="42"/>
          <w:szCs w:val="42"/>
        </w:rPr>
        <w:t xml:space="preserve">POLITIQUE DE CONFIDENTIALITÉ</w:t>
      </w:r>
    </w:p>
    <w:p>
      <w:pPr>
        <w:spacing w:after="30"/>
        <w:jc w:val="center"/>
      </w:pPr>
      <w:r>
        <w:rPr>
          <w:rFonts w:ascii="Arial" w:cs="Arial" w:eastAsia="Arial" w:hAnsi="Arial"/>
          <w:i/>
          <w:iCs/>
          <w:color w:val="F0936F"/>
          <w:sz w:val="23"/>
          <w:szCs w:val="23"/>
        </w:rPr>
        <w:t xml:space="preserve">Protection des données personnelles - solutionof.fr et app.solutionof.fr</w:t>
      </w:r>
    </w:p>
    <w:p>
      <w:pPr>
        <w:spacing w:after="250"/>
        <w:jc w:val="center"/>
      </w:pPr>
      <w:r>
        <w:rPr>
          <w:rFonts w:ascii="Arial" w:cs="Arial" w:eastAsia="Arial" w:hAnsi="Arial"/>
          <w:b/>
          <w:bCs/>
          <w:color w:val="2B2B2B"/>
          <w:sz w:val="21"/>
          <w:szCs w:val="21"/>
        </w:rPr>
        <w:t xml:space="preserve">Logiciel SaaS de gestion d'organisme de formation - solutionof.fr</w:t>
      </w:r>
    </w:p>
    <w:tbl>
      <w:tblPr>
        <w:tblW w:type="dxa" w:w="9566"/>
        <w:tblBorders>
          <w:top w:val="single" w:color="auto" w:sz="4"/>
          <w:left w:val="single" w:color="auto" w:sz="4"/>
          <w:bottom w:val="single" w:color="auto" w:sz="4"/>
          <w:right w:val="single" w:color="auto" w:sz="4"/>
          <w:insideH w:val="single" w:color="auto" w:sz="4"/>
          <w:insideV w:val="single" w:color="auto" w:sz="4"/>
        </w:tblBorders>
      </w:tblPr>
      <w:tblGrid>
        <w:gridCol w:w="4783"/>
        <w:gridCol w:w="4783"/>
      </w:tblGrid>
      <w:tr>
        <w:tc>
          <w:tcPr>
            <w:tcW w:type="dxa" w:w="4783"/>
            <w:tcBorders>
              <w:top w:val="single" w:color="C9D6E0" w:sz="4"/>
              <w:left w:val="single" w:color="C9D6E0" w:sz="4"/>
              <w:bottom w:val="single" w:color="C9D6E0" w:sz="4"/>
              <w:right w:val="single" w:color="C9D6E0" w:sz="4"/>
            </w:tcBorders>
            <w:shd w:fill="EAF1F6" w:color="auto" w:val="clear"/>
            <w:tcMar>
              <w:top w:type="dxa" w:w="130"/>
              <w:left w:type="dxa" w:w="150"/>
              <w:bottom w:type="dxa" w:w="130"/>
              <w:right w:type="dxa" w:w="150"/>
            </w:tcMar>
          </w:tcPr>
          <w:p>
            <w:pPr>
              <w:spacing w:after="60"/>
            </w:pPr>
            <w:r>
              <w:rPr>
                <w:rFonts w:ascii="Arial" w:cs="Arial" w:eastAsia="Arial" w:hAnsi="Arial"/>
                <w:b/>
                <w:bCs/>
                <w:color w:val="1C608C"/>
                <w:sz w:val="15"/>
                <w:szCs w:val="15"/>
              </w:rPr>
              <w:t xml:space="preserve">ÉDITEUR</w:t>
            </w:r>
          </w:p>
          <w:p>
            <w:pPr>
              <w:spacing w:after="16" w:line="248"/>
            </w:pPr>
            <w:r>
              <w:rPr>
                <w:rFonts w:ascii="Arial" w:cs="Arial" w:eastAsia="Arial" w:hAnsi="Arial"/>
                <w:b/>
                <w:bCs/>
                <w:i w:val="false"/>
                <w:iCs w:val="false"/>
                <w:color w:val="2B2B2B"/>
                <w:sz w:val="19"/>
                <w:szCs w:val="19"/>
              </w:rPr>
              <w:t xml:space="preserve">C&amp;Co Formation</w:t>
            </w:r>
          </w:p>
          <w:p>
            <w:pPr>
              <w:spacing w:after="16" w:line="248"/>
            </w:pPr>
            <w:r>
              <w:rPr>
                <w:rFonts w:ascii="Arial" w:cs="Arial" w:eastAsia="Arial" w:hAnsi="Arial"/>
                <w:b w:val="false"/>
                <w:bCs w:val="false"/>
                <w:i w:val="false"/>
                <w:iCs w:val="false"/>
                <w:color w:val="2B2B2B"/>
                <w:sz w:val="17"/>
                <w:szCs w:val="17"/>
              </w:rPr>
              <w:t xml:space="preserve">SARL au capital de 1 000 €</w:t>
            </w:r>
          </w:p>
          <w:p>
            <w:pPr>
              <w:spacing w:after="16" w:line="248"/>
            </w:pPr>
            <w:r>
              <w:rPr>
                <w:rFonts w:ascii="Arial" w:cs="Arial" w:eastAsia="Arial" w:hAnsi="Arial"/>
                <w:b w:val="false"/>
                <w:bCs w:val="false"/>
                <w:i w:val="false"/>
                <w:iCs w:val="false"/>
                <w:color w:val="2B2B2B"/>
                <w:sz w:val="17"/>
                <w:szCs w:val="17"/>
              </w:rPr>
              <w:t xml:space="preserve">SIRET 933 631 855 00014 - RCS Aix-en-Provence 933 631 855</w:t>
            </w:r>
          </w:p>
          <w:p>
            <w:pPr>
              <w:spacing w:after="16" w:line="248"/>
            </w:pPr>
            <w:r>
              <w:rPr>
                <w:rFonts w:ascii="Arial" w:cs="Arial" w:eastAsia="Arial" w:hAnsi="Arial"/>
                <w:b w:val="false"/>
                <w:bCs w:val="false"/>
                <w:i w:val="false"/>
                <w:iCs w:val="false"/>
                <w:color w:val="2B2B2B"/>
                <w:sz w:val="17"/>
                <w:szCs w:val="17"/>
              </w:rPr>
              <w:t xml:space="preserve">NDA 93132429013 - Certifié Qualiopi</w:t>
            </w:r>
          </w:p>
          <w:p>
            <w:pPr>
              <w:spacing w:after="16" w:line="248"/>
            </w:pPr>
            <w:r>
              <w:rPr>
                <w:rFonts w:ascii="Arial" w:cs="Arial" w:eastAsia="Arial" w:hAnsi="Arial"/>
                <w:b w:val="false"/>
                <w:bCs w:val="false"/>
                <w:i w:val="false"/>
                <w:iCs w:val="false"/>
                <w:color w:val="2B2B2B"/>
                <w:sz w:val="17"/>
                <w:szCs w:val="17"/>
              </w:rPr>
              <w:t xml:space="preserve">340 chemin du plan marseillais, 13320 Bouc-Bel-Air</w:t>
            </w:r>
          </w:p>
          <w:p>
            <w:pPr>
              <w:spacing w:after="16" w:line="248"/>
            </w:pPr>
            <w:r>
              <w:rPr>
                <w:rFonts w:ascii="Arial" w:cs="Arial" w:eastAsia="Arial" w:hAnsi="Arial"/>
                <w:b w:val="false"/>
                <w:bCs w:val="false"/>
                <w:i/>
                <w:iCs/>
                <w:color w:val="6B7680"/>
                <w:sz w:val="17"/>
                <w:szCs w:val="17"/>
              </w:rPr>
              <w:t xml:space="preserve">Représentée par Nicolas Devaux, Gérant</w:t>
            </w:r>
          </w:p>
          <w:p>
            <w:pPr>
              <w:spacing w:after="16" w:line="248"/>
            </w:pPr>
            <w:r>
              <w:rPr>
                <w:rFonts w:ascii="Arial" w:cs="Arial" w:eastAsia="Arial" w:hAnsi="Arial"/>
                <w:b w:val="false"/>
                <w:bCs w:val="false"/>
                <w:i w:val="false"/>
                <w:iCs w:val="false"/>
                <w:color w:val="2B2B2B"/>
                <w:sz w:val="17"/>
                <w:szCs w:val="17"/>
              </w:rPr>
              <w:t xml:space="preserve">support@solutionof.fr - https://solutionof.fr</w:t>
            </w:r>
          </w:p>
        </w:tc>
        <w:tc>
          <w:tcPr>
            <w:tcW w:type="dxa" w:w="4783"/>
            <w:tcBorders>
              <w:top w:val="single" w:color="C9D6E0" w:sz="4"/>
              <w:left w:val="single" w:color="C9D6E0" w:sz="4"/>
              <w:bottom w:val="single" w:color="C9D6E0" w:sz="4"/>
              <w:right w:val="single" w:color="C9D6E0" w:sz="4"/>
            </w:tcBorders>
            <w:shd w:fill="FFFFFF" w:color="auto" w:val="clear"/>
            <w:tcMar>
              <w:top w:type="dxa" w:w="130"/>
              <w:left w:type="dxa" w:w="150"/>
              <w:bottom w:type="dxa" w:w="130"/>
              <w:right w:type="dxa" w:w="150"/>
            </w:tcMar>
          </w:tcPr>
          <w:p>
            <w:pPr>
              <w:spacing w:after="60"/>
            </w:pPr>
            <w:r>
              <w:rPr>
                <w:rFonts w:ascii="Arial" w:cs="Arial" w:eastAsia="Arial" w:hAnsi="Arial"/>
                <w:b/>
                <w:bCs/>
                <w:color w:val="1C608C"/>
                <w:sz w:val="15"/>
                <w:szCs w:val="15"/>
              </w:rPr>
              <w:t xml:space="preserve">DOCUMENT</w:t>
            </w:r>
          </w:p>
          <w:p>
            <w:pPr>
              <w:spacing w:after="16" w:line="248"/>
            </w:pPr>
            <w:r>
              <w:rPr>
                <w:rFonts w:ascii="Arial" w:cs="Arial" w:eastAsia="Arial" w:hAnsi="Arial"/>
                <w:b/>
                <w:bCs/>
                <w:i w:val="false"/>
                <w:iCs w:val="false"/>
                <w:color w:val="2B2B2B"/>
                <w:sz w:val="19"/>
                <w:szCs w:val="19"/>
              </w:rPr>
              <w:t xml:space="preserve">Politique de confidentialité</w:t>
            </w:r>
          </w:p>
          <w:p>
            <w:pPr>
              <w:spacing w:after="16" w:line="248"/>
            </w:pPr>
            <w:r>
              <w:rPr>
                <w:rFonts w:ascii="Arial" w:cs="Arial" w:eastAsia="Arial" w:hAnsi="Arial"/>
                <w:b w:val="false"/>
                <w:bCs w:val="false"/>
                <w:i w:val="false"/>
                <w:iCs w:val="false"/>
                <w:color w:val="2B2B2B"/>
                <w:sz w:val="17"/>
                <w:szCs w:val="17"/>
              </w:rPr>
              <w:t xml:space="preserve">Articles 13 et 14 du RGPD</w:t>
            </w:r>
          </w:p>
          <w:p>
            <w:pPr>
              <w:spacing w:after="16" w:line="248"/>
            </w:pPr>
            <w:r>
              <w:rPr>
                <w:rFonts w:ascii="Arial" w:cs="Arial" w:eastAsia="Arial" w:hAnsi="Arial"/>
                <w:b w:val="false"/>
                <w:bCs w:val="false"/>
                <w:i w:val="false"/>
                <w:iCs w:val="false"/>
                <w:color w:val="2B2B2B"/>
                <w:sz w:val="17"/>
                <w:szCs w:val="17"/>
              </w:rPr>
              <w:t xml:space="preserve">Visiteurs, prospects, clients, utilisateurs</w:t>
            </w:r>
          </w:p>
          <w:p>
            <w:pPr>
              <w:spacing w:after="16" w:line="248"/>
            </w:pPr>
            <w:r>
              <w:rPr>
                <w:rFonts w:ascii="Arial" w:cs="Arial" w:eastAsia="Arial" w:hAnsi="Arial"/>
                <w:b w:val="false"/>
                <w:bCs w:val="false"/>
                <w:i w:val="false"/>
                <w:iCs w:val="false"/>
                <w:color w:val="2B2B2B"/>
                <w:sz w:val="17"/>
                <w:szCs w:val="17"/>
              </w:rPr>
              <w:t xml:space="preserve">Section 9 : personnes saisies par nos clients</w:t>
            </w:r>
          </w:p>
          <w:p>
            <w:pPr>
              <w:spacing w:after="16" w:line="248"/>
            </w:pPr>
            <w:r>
              <w:rPr>
                <w:rFonts w:ascii="Arial" w:cs="Arial" w:eastAsia="Arial" w:hAnsi="Arial"/>
                <w:b w:val="false"/>
                <w:bCs w:val="false"/>
                <w:i/>
                <w:iCs/>
                <w:color w:val="6B7680"/>
                <w:sz w:val="17"/>
                <w:szCs w:val="17"/>
              </w:rPr>
              <w:t xml:space="preserve">Contact : support@solutionof.fr</w:t>
            </w:r>
          </w:p>
        </w:tc>
      </w:tr>
    </w:tbl>
    <w:p>
      <w:pPr>
        <w:spacing w:after="160"/>
      </w:pPr>
      <w:r>
        <w:rPr>
          <w:rFonts w:ascii="Arial" w:cs="Arial" w:eastAsia="Arial" w:hAnsi="Arial"/>
          <w:b w:val="false"/>
          <w:bCs w:val="false"/>
          <w:i w:val="false"/>
          <w:iCs w:val="false"/>
          <w:color w:val="2B2B2B"/>
          <w:sz w:val="22"/>
          <w:szCs w:val="22"/>
        </w:rPr>
        <w:t xml:space="preserve"> </w:t>
      </w:r>
    </w:p>
    <w:tbl>
      <w:tblPr>
        <w:tblW w:type="dxa" w:w="9566"/>
        <w:tblBorders>
          <w:top w:val="single" w:color="auto" w:sz="4"/>
          <w:left w:val="single" w:color="auto" w:sz="4"/>
          <w:bottom w:val="single" w:color="auto" w:sz="4"/>
          <w:right w:val="single" w:color="auto" w:sz="4"/>
          <w:insideH w:val="single" w:color="auto" w:sz="4"/>
          <w:insideV w:val="single" w:color="auto" w:sz="4"/>
        </w:tblBorders>
      </w:tblPr>
      <w:tblGrid>
        <w:gridCol w:w="2391"/>
        <w:gridCol w:w="2391"/>
        <w:gridCol w:w="2391"/>
        <w:gridCol w:w="2391"/>
      </w:tblGrid>
      <w:tr>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Référence</w:t>
            </w:r>
          </w:p>
          <w:p>
            <w:pPr>
              <w:spacing w:after="0"/>
            </w:pPr>
            <w:r>
              <w:rPr>
                <w:rFonts w:ascii="Arial" w:cs="Arial" w:eastAsia="Arial" w:hAnsi="Arial"/>
                <w:b/>
                <w:bCs/>
                <w:color w:val="1C608C"/>
                <w:sz w:val="17"/>
                <w:szCs w:val="17"/>
              </w:rPr>
              <w:t xml:space="preserve">PC-SOF-2026-001</w:t>
            </w:r>
          </w:p>
        </w:tc>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Date</w:t>
            </w:r>
          </w:p>
          <w:p>
            <w:pPr>
              <w:spacing w:after="0"/>
            </w:pPr>
            <w:r>
              <w:rPr>
                <w:rFonts w:ascii="Arial" w:cs="Arial" w:eastAsia="Arial" w:hAnsi="Arial"/>
                <w:b/>
                <w:bCs/>
                <w:color w:val="1C608C"/>
                <w:sz w:val="17"/>
                <w:szCs w:val="17"/>
              </w:rPr>
              <w:t xml:space="preserve">4 septembre 2026</w:t>
            </w:r>
          </w:p>
        </w:tc>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Version</w:t>
            </w:r>
          </w:p>
          <w:p>
            <w:pPr>
              <w:spacing w:after="0"/>
            </w:pPr>
            <w:r>
              <w:rPr>
                <w:rFonts w:ascii="Arial" w:cs="Arial" w:eastAsia="Arial" w:hAnsi="Arial"/>
                <w:b/>
                <w:bCs/>
                <w:color w:val="1C608C"/>
                <w:sz w:val="17"/>
                <w:szCs w:val="17"/>
              </w:rPr>
              <w:t xml:space="preserve">V1.0</w:t>
            </w:r>
          </w:p>
        </w:tc>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Statut</w:t>
            </w:r>
          </w:p>
          <w:p>
            <w:pPr>
              <w:spacing w:after="0"/>
            </w:pPr>
            <w:r>
              <w:rPr>
                <w:rFonts w:ascii="Arial" w:cs="Arial" w:eastAsia="Arial" w:hAnsi="Arial"/>
                <w:b/>
                <w:bCs/>
                <w:color w:val="1C608C"/>
                <w:sz w:val="17"/>
                <w:szCs w:val="17"/>
              </w:rPr>
              <w:t xml:space="preserve">En vigueur</w:t>
            </w:r>
          </w:p>
        </w:tc>
      </w:tr>
    </w:tbl>
    <w:p>
      <w:r>
        <w:br w:type="page"/>
      </w:r>
    </w:p>
    <w:p>
      <w:pPr>
        <w:keepNext/>
        <w:pBdr>
          <w:bottom w:val="single" w:color="F8A890" w:sz="12" w:space="4"/>
        </w:pBdr>
        <w:spacing w:after="150" w:before="280"/>
      </w:pPr>
      <w:r>
        <w:rPr>
          <w:rFonts w:ascii="Arial" w:cs="Arial" w:eastAsia="Arial" w:hAnsi="Arial"/>
          <w:b/>
          <w:bCs/>
          <w:color w:val="1C608C"/>
          <w:sz w:val="24"/>
          <w:szCs w:val="24"/>
        </w:rPr>
        <w:t xml:space="preserve">1 - INTRODUCTION</w:t>
      </w:r>
    </w:p>
    <w:p>
      <w:pPr>
        <w:spacing w:after="120" w:before="0" w:line="276"/>
        <w:jc w:val="both"/>
      </w:pPr>
      <w:r>
        <w:rPr>
          <w:rFonts w:ascii="Arial" w:cs="Arial" w:eastAsia="Arial" w:hAnsi="Arial"/>
          <w:b w:val="false"/>
          <w:bCs w:val="false"/>
          <w:i w:val="false"/>
          <w:iCs w:val="false"/>
          <w:color w:val="2B2B2B"/>
          <w:sz w:val="22"/>
          <w:szCs w:val="22"/>
        </w:rPr>
        <w:t xml:space="preserve">C&amp;Co Formation (« nous ») édite et exploite le logiciel SaaS Solution OF, accessible sur solutionof.fr et app.solutionof.fr, destiné aux organismes de formation et aux formateurs indépendants. La présente Politique de confidentialité décrit, conformément aux articles 13 et 14 du Règlement (UE) 2016/679 (« RGPD ») et à la loi Informatique et Libertés, les données personnelles que nous traitons, pourquoi, pendant combien de temps, avec qui nous les partageons et quels sont vos droits.</w:t>
      </w:r>
    </w:p>
    <w:p>
      <w:pPr>
        <w:spacing w:after="120" w:before="0" w:line="276"/>
        <w:jc w:val="both"/>
      </w:pPr>
      <w:r>
        <w:rPr>
          <w:rFonts w:ascii="Arial" w:cs="Arial" w:eastAsia="Arial" w:hAnsi="Arial"/>
          <w:b w:val="false"/>
          <w:bCs w:val="false"/>
          <w:i w:val="false"/>
          <w:iCs w:val="false"/>
          <w:color w:val="2B2B2B"/>
          <w:sz w:val="22"/>
          <w:szCs w:val="22"/>
        </w:rPr>
        <w:t xml:space="preserve">Elle s'applique aux visiteurs du site, aux prospects, aux Clients et à leurs Utilisateurs. Les personnes dont les données sont saisies dans le Logiciel par un Client (apprenants, formateurs, contacts) sont invitées à lire la section 9.</w:t>
      </w:r>
    </w:p>
    <w:p>
      <w:pPr>
        <w:keepNext/>
        <w:pBdr>
          <w:bottom w:val="single" w:color="F8A890" w:sz="12" w:space="4"/>
        </w:pBdr>
        <w:spacing w:after="150" w:before="280"/>
      </w:pPr>
      <w:r>
        <w:rPr>
          <w:rFonts w:ascii="Arial" w:cs="Arial" w:eastAsia="Arial" w:hAnsi="Arial"/>
          <w:b/>
          <w:bCs/>
          <w:color w:val="1C608C"/>
          <w:sz w:val="24"/>
          <w:szCs w:val="24"/>
        </w:rPr>
        <w:t xml:space="preserve">2 - RESPONSABLE DE TRAITEMENT ET CONTACT</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Responsable de traitement</w:t>
      </w:r>
      <w:r>
        <w:rPr>
          <w:rFonts w:ascii="Arial" w:cs="Arial" w:eastAsia="Arial" w:hAnsi="Arial"/>
          <w:b w:val="false"/>
          <w:bCs w:val="false"/>
          <w:i w:val="false"/>
          <w:iCs w:val="false"/>
          <w:color w:val="2B2B2B"/>
          <w:sz w:val="22"/>
          <w:szCs w:val="22"/>
        </w:rPr>
        <w:t xml:space="preserve"> : C&amp;Co Formation, SARL au capital de 1 000 €, RCS Aix-en-Provence 933 631 855, SIRET 933 631 855 00014, 340 chemin du plan marseillais, 13320 Bouc-Bel-Air, représentée par Nicolas Devaux, Gérant.</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Point de contact protection des données</w:t>
      </w:r>
      <w:r>
        <w:rPr>
          <w:rFonts w:ascii="Arial" w:cs="Arial" w:eastAsia="Arial" w:hAnsi="Arial"/>
          <w:b w:val="false"/>
          <w:bCs w:val="false"/>
          <w:i w:val="false"/>
          <w:iCs w:val="false"/>
          <w:color w:val="2B2B2B"/>
          <w:sz w:val="22"/>
          <w:szCs w:val="22"/>
        </w:rPr>
        <w:t xml:space="preserve"> : support@solutionof.fr (objet « Données personnelles ») ou par courrier à l'adresse ci-dessus. C&amp;Co Formation n'est pas tenue de désigner un délégué à la protection des données ; Nicolas Devaux assure la fonction de référent.</w:t>
      </w:r>
    </w:p>
    <w:p>
      <w:pPr>
        <w:keepNext/>
        <w:pBdr>
          <w:bottom w:val="single" w:color="F8A890" w:sz="12" w:space="4"/>
        </w:pBdr>
        <w:spacing w:after="150" w:before="280"/>
      </w:pPr>
      <w:r>
        <w:rPr>
          <w:rFonts w:ascii="Arial" w:cs="Arial" w:eastAsia="Arial" w:hAnsi="Arial"/>
          <w:b/>
          <w:bCs/>
          <w:color w:val="1C608C"/>
          <w:sz w:val="24"/>
          <w:szCs w:val="24"/>
        </w:rPr>
        <w:t xml:space="preserve">3 - NOS DEUX RÔLES : RESPONSABLE DE TRAITEMENT ET SOUS-TRAITANT</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Nous sommes responsable de traitement</w:t>
      </w:r>
      <w:r>
        <w:rPr>
          <w:rFonts w:ascii="Arial" w:cs="Arial" w:eastAsia="Arial" w:hAnsi="Arial"/>
          <w:b w:val="false"/>
          <w:bCs w:val="false"/>
          <w:i w:val="false"/>
          <w:iCs w:val="false"/>
          <w:color w:val="2B2B2B"/>
          <w:sz w:val="22"/>
          <w:szCs w:val="22"/>
        </w:rPr>
        <w:t xml:space="preserve"> pour les données que nous collectons pour notre propre compte : visiteurs du site, prospects, comptes clients, facturation, support, sécurité, mesure d'audience. La présente Politique couvre ces traitements.</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Nous sommes sous-traitant</w:t>
      </w:r>
      <w:r>
        <w:rPr>
          <w:rFonts w:ascii="Arial" w:cs="Arial" w:eastAsia="Arial" w:hAnsi="Arial"/>
          <w:b w:val="false"/>
          <w:bCs w:val="false"/>
          <w:i w:val="false"/>
          <w:iCs w:val="false"/>
          <w:color w:val="2B2B2B"/>
          <w:sz w:val="22"/>
          <w:szCs w:val="22"/>
        </w:rPr>
        <w:t xml:space="preserve"> pour les données que nos Clients saisissent dans le Logiciel (apprenants, formateurs, contacts clients et financeurs). Le Client est alors responsable de traitement ; nous agissons sur ses instructions dans les conditions de l'Accord de traitement des données (DPA) annexé aux CGV.</w:t>
      </w:r>
    </w:p>
    <w:p>
      <w:pPr>
        <w:keepNext/>
        <w:pBdr>
          <w:bottom w:val="single" w:color="F8A890" w:sz="12" w:space="4"/>
        </w:pBdr>
        <w:spacing w:after="150" w:before="280"/>
      </w:pPr>
      <w:r>
        <w:rPr>
          <w:rFonts w:ascii="Arial" w:cs="Arial" w:eastAsia="Arial" w:hAnsi="Arial"/>
          <w:b/>
          <w:bCs/>
          <w:color w:val="1C608C"/>
          <w:sz w:val="24"/>
          <w:szCs w:val="24"/>
        </w:rPr>
        <w:t xml:space="preserve">4 - DONNÉES QUE NOUS COLLECTONS</w:t>
      </w:r>
    </w:p>
    <w:p>
      <w:pPr>
        <w:keepNext/>
        <w:spacing w:after="70" w:before="160"/>
      </w:pPr>
      <w:r>
        <w:rPr>
          <w:rFonts w:ascii="Arial" w:cs="Arial" w:eastAsia="Arial" w:hAnsi="Arial"/>
          <w:b/>
          <w:bCs/>
          <w:color w:val="1C608C"/>
          <w:sz w:val="20"/>
          <w:szCs w:val="20"/>
        </w:rPr>
        <w:t xml:space="preserve">4.1 Visiteurs du site solutionof.fr</w:t>
      </w:r>
    </w:p>
    <w:p>
      <w:pPr>
        <w:spacing w:after="120" w:before="0" w:line="276"/>
        <w:jc w:val="both"/>
      </w:pPr>
      <w:r>
        <w:rPr>
          <w:rFonts w:ascii="Arial" w:cs="Arial" w:eastAsia="Arial" w:hAnsi="Arial"/>
          <w:b w:val="false"/>
          <w:bCs w:val="false"/>
          <w:i w:val="false"/>
          <w:iCs w:val="false"/>
          <w:color w:val="2B2B2B"/>
          <w:sz w:val="22"/>
          <w:szCs w:val="22"/>
        </w:rPr>
        <w:t xml:space="preserve">Données de navigation (pages consultées, durée, source de trafic, type d'appareil et de navigateur, langue), adresse IP tronquée et localisation approximative (pays, région, ville) issues de la mesure d'audience, données de formulaire de contact ou de demande de démonstration (nom, prénom, e-mail, téléphone, organisme, message).</w:t>
      </w:r>
    </w:p>
    <w:p>
      <w:pPr>
        <w:keepNext/>
        <w:spacing w:after="70" w:before="160"/>
      </w:pPr>
      <w:r>
        <w:rPr>
          <w:rFonts w:ascii="Arial" w:cs="Arial" w:eastAsia="Arial" w:hAnsi="Arial"/>
          <w:b/>
          <w:bCs/>
          <w:color w:val="1C608C"/>
          <w:sz w:val="20"/>
          <w:szCs w:val="20"/>
        </w:rPr>
        <w:t xml:space="preserve">4.2 Clients et Utilisateurs (comptes)</w:t>
      </w:r>
    </w:p>
    <w:p>
      <w:pPr>
        <w:spacing w:after="120" w:before="0" w:line="276"/>
        <w:jc w:val="both"/>
      </w:pPr>
      <w:r>
        <w:rPr>
          <w:rFonts w:ascii="Arial" w:cs="Arial" w:eastAsia="Arial" w:hAnsi="Arial"/>
          <w:b w:val="false"/>
          <w:bCs w:val="false"/>
          <w:i w:val="false"/>
          <w:iCs w:val="false"/>
          <w:color w:val="2B2B2B"/>
          <w:sz w:val="22"/>
          <w:szCs w:val="22"/>
        </w:rPr>
        <w:t xml:space="preserve">Identité et coordonnées professionnelles (nom, prénom, e-mail, téléphone, fonction), données d'identification de l'organisme (dénomination, SIREN, adresse, numéro de déclaration d'activité, certification qualité), identifiants et mot de passe (haché), rôle et paramètres du compte, journaux de connexion et d'actions (adresse IP, horodatage, actions réalisées), échanges avec le support, préférences de communication.</w:t>
      </w:r>
    </w:p>
    <w:p>
      <w:pPr>
        <w:keepNext/>
        <w:spacing w:after="70" w:before="160"/>
      </w:pPr>
      <w:r>
        <w:rPr>
          <w:rFonts w:ascii="Arial" w:cs="Arial" w:eastAsia="Arial" w:hAnsi="Arial"/>
          <w:b/>
          <w:bCs/>
          <w:color w:val="1C608C"/>
          <w:sz w:val="20"/>
          <w:szCs w:val="20"/>
        </w:rPr>
        <w:t xml:space="preserve">4.3 Facturation et paiement</w:t>
      </w:r>
    </w:p>
    <w:p>
      <w:pPr>
        <w:spacing w:after="120" w:before="0" w:line="276"/>
        <w:jc w:val="both"/>
      </w:pPr>
      <w:r>
        <w:rPr>
          <w:rFonts w:ascii="Arial" w:cs="Arial" w:eastAsia="Arial" w:hAnsi="Arial"/>
          <w:b w:val="false"/>
          <w:bCs w:val="false"/>
          <w:i w:val="false"/>
          <w:iCs w:val="false"/>
          <w:color w:val="2B2B2B"/>
          <w:sz w:val="22"/>
          <w:szCs w:val="22"/>
        </w:rPr>
        <w:t xml:space="preserve">Offre souscrite, historique des abonnements et des achats de Crédits IA, factures, statut des paiements. Les données de carte bancaire sont collectées et conservées exclusivement par notre prestataire de paiement Stripe ; nous n'y avons pas accès et ne conservons que les quatre derniers chiffres et la date d'expiration à des fins d'affichage.</w:t>
      </w:r>
    </w:p>
    <w:p>
      <w:pPr>
        <w:keepNext/>
        <w:spacing w:after="70" w:before="160"/>
      </w:pPr>
      <w:r>
        <w:rPr>
          <w:rFonts w:ascii="Arial" w:cs="Arial" w:eastAsia="Arial" w:hAnsi="Arial"/>
          <w:b/>
          <w:bCs/>
          <w:color w:val="1C608C"/>
          <w:sz w:val="20"/>
          <w:szCs w:val="20"/>
        </w:rPr>
        <w:t xml:space="preserve">4.4 Usage du Logiciel et de l'assistant IA</w:t>
      </w:r>
    </w:p>
    <w:p>
      <w:pPr>
        <w:spacing w:after="120" w:before="0" w:line="276"/>
        <w:jc w:val="both"/>
      </w:pPr>
      <w:r>
        <w:rPr>
          <w:rFonts w:ascii="Arial" w:cs="Arial" w:eastAsia="Arial" w:hAnsi="Arial"/>
          <w:b w:val="false"/>
          <w:bCs w:val="false"/>
          <w:i w:val="false"/>
          <w:iCs w:val="false"/>
          <w:color w:val="2B2B2B"/>
          <w:sz w:val="22"/>
          <w:szCs w:val="22"/>
        </w:rPr>
        <w:t xml:space="preserve">Statistiques d'utilisation des fonctionnalités, consommation de Crédits IA, journaux techniques nécessaires à la sécurité et à l'amélioration du Service. Les contenus soumis à l'assistant IA sont traités pour le compte du Client (section 9).</w:t>
      </w:r>
    </w:p>
    <w:p>
      <w:pPr>
        <w:keepNext/>
        <w:pBdr>
          <w:bottom w:val="single" w:color="F8A890" w:sz="12" w:space="4"/>
        </w:pBdr>
        <w:spacing w:after="150" w:before="280"/>
      </w:pPr>
      <w:r>
        <w:rPr>
          <w:rFonts w:ascii="Arial" w:cs="Arial" w:eastAsia="Arial" w:hAnsi="Arial"/>
          <w:b/>
          <w:bCs/>
          <w:color w:val="1C608C"/>
          <w:sz w:val="24"/>
          <w:szCs w:val="24"/>
        </w:rPr>
        <w:t xml:space="preserve">5 - FINALITÉS ET BASES LÉGALES</w:t>
      </w:r>
    </w:p>
    <w:tbl>
      <w:tblPr>
        <w:tblW w:type="dxa" w:w="9566"/>
        <w:tblBorders>
          <w:top w:val="single" w:color="auto" w:sz="4"/>
          <w:left w:val="single" w:color="auto" w:sz="4"/>
          <w:bottom w:val="single" w:color="auto" w:sz="4"/>
          <w:right w:val="single" w:color="auto" w:sz="4"/>
          <w:insideH w:val="single" w:color="auto" w:sz="4"/>
          <w:insideV w:val="single" w:color="auto" w:sz="4"/>
        </w:tblBorders>
      </w:tblPr>
      <w:tblGrid>
        <w:gridCol w:w="3800"/>
        <w:gridCol w:w="3400"/>
        <w:gridCol w:w="2366"/>
      </w:tblGrid>
      <w:tr>
        <w:trPr>
          <w:tblHeader/>
        </w:trPr>
        <w:tc>
          <w:tcPr>
            <w:tcW w:type="dxa" w:w="3800"/>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Finalité</w:t>
            </w:r>
          </w:p>
        </w:tc>
        <w:tc>
          <w:tcPr>
            <w:tcW w:type="dxa" w:w="3400"/>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Données concernées</w:t>
            </w:r>
          </w:p>
        </w:tc>
        <w:tc>
          <w:tcPr>
            <w:tcW w:type="dxa" w:w="2366"/>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Base légale</w:t>
            </w:r>
          </w:p>
        </w:tc>
      </w:tr>
      <w:tr>
        <w:tc>
          <w:tcPr>
            <w:tcW w:type="dxa" w:w="38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Fourniture du Logiciel, gestion des comptes et des accès</w:t>
            </w:r>
          </w:p>
        </w:tc>
        <w:tc>
          <w:tcPr>
            <w:tcW w:type="dxa" w:w="34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Comptes, identifiants, journaux</w:t>
            </w:r>
          </w:p>
        </w:tc>
        <w:tc>
          <w:tcPr>
            <w:tcW w:type="dxa" w:w="2366"/>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Exécution du contrat (art. 6.1.b)</w:t>
            </w:r>
          </w:p>
        </w:tc>
      </w:tr>
      <w:tr>
        <w:tc>
          <w:tcPr>
            <w:tcW w:type="dxa" w:w="38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Facturation, encaissement, recouvrement, comptabilité</w:t>
            </w:r>
          </w:p>
        </w:tc>
        <w:tc>
          <w:tcPr>
            <w:tcW w:type="dxa" w:w="34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Facturation et paiement</w:t>
            </w:r>
          </w:p>
        </w:tc>
        <w:tc>
          <w:tcPr>
            <w:tcW w:type="dxa" w:w="2366"/>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Exécution du contrat ; obligation légale (art. 6.1.c)</w:t>
            </w:r>
          </w:p>
        </w:tc>
      </w:tr>
      <w:tr>
        <w:tc>
          <w:tcPr>
            <w:tcW w:type="dxa" w:w="38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Support et assistance</w:t>
            </w:r>
          </w:p>
        </w:tc>
        <w:tc>
          <w:tcPr>
            <w:tcW w:type="dxa" w:w="34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Comptes, échanges support</w:t>
            </w:r>
          </w:p>
        </w:tc>
        <w:tc>
          <w:tcPr>
            <w:tcW w:type="dxa" w:w="2366"/>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Exécution du contrat</w:t>
            </w:r>
          </w:p>
        </w:tc>
      </w:tr>
      <w:tr>
        <w:tc>
          <w:tcPr>
            <w:tcW w:type="dxa" w:w="38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Sécurité du Service, prévention de la fraude et des abus, preuve</w:t>
            </w:r>
          </w:p>
        </w:tc>
        <w:tc>
          <w:tcPr>
            <w:tcW w:type="dxa" w:w="34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Journaux de connexion et d'actions, adresse IP</w:t>
            </w:r>
          </w:p>
        </w:tc>
        <w:tc>
          <w:tcPr>
            <w:tcW w:type="dxa" w:w="2366"/>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Intérêt légitime (art. 6.1.f) : sécurité et protection du Logiciel</w:t>
            </w:r>
          </w:p>
        </w:tc>
      </w:tr>
      <w:tr>
        <w:tc>
          <w:tcPr>
            <w:tcW w:type="dxa" w:w="38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Réponse aux demandes de contact et de démonstration</w:t>
            </w:r>
          </w:p>
        </w:tc>
        <w:tc>
          <w:tcPr>
            <w:tcW w:type="dxa" w:w="34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Formulaires</w:t>
            </w:r>
          </w:p>
        </w:tc>
        <w:tc>
          <w:tcPr>
            <w:tcW w:type="dxa" w:w="2366"/>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Mesures précontractuelles (art. 6.1.b)</w:t>
            </w:r>
          </w:p>
        </w:tc>
      </w:tr>
      <w:tr>
        <w:tc>
          <w:tcPr>
            <w:tcW w:type="dxa" w:w="38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Prospection et information commerciale B2B (nouveautés, offres)</w:t>
            </w:r>
          </w:p>
        </w:tc>
        <w:tc>
          <w:tcPr>
            <w:tcW w:type="dxa" w:w="34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Coordonnées professionnelles</w:t>
            </w:r>
          </w:p>
        </w:tc>
        <w:tc>
          <w:tcPr>
            <w:tcW w:type="dxa" w:w="2366"/>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Intérêt légitime (B2B) avec droit d'opposition à tout moment</w:t>
            </w:r>
          </w:p>
        </w:tc>
      </w:tr>
      <w:tr>
        <w:tc>
          <w:tcPr>
            <w:tcW w:type="dxa" w:w="38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Mesure d'audience, connaissance de nos visiteurs et clients, localisation approximative</w:t>
            </w:r>
          </w:p>
        </w:tc>
        <w:tc>
          <w:tcPr>
            <w:tcW w:type="dxa" w:w="34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Données de navigation, cookies Google Analytics</w:t>
            </w:r>
          </w:p>
        </w:tc>
        <w:tc>
          <w:tcPr>
            <w:tcW w:type="dxa" w:w="2366"/>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Consentement (art. 6.1.a) via le bandeau cookies</w:t>
            </w:r>
          </w:p>
        </w:tc>
      </w:tr>
      <w:tr>
        <w:tc>
          <w:tcPr>
            <w:tcW w:type="dxa" w:w="38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Amélioration du Logiciel, statistiques agrégées</w:t>
            </w:r>
          </w:p>
        </w:tc>
        <w:tc>
          <w:tcPr>
            <w:tcW w:type="dxa" w:w="34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Données d'usage anonymisées</w:t>
            </w:r>
          </w:p>
        </w:tc>
        <w:tc>
          <w:tcPr>
            <w:tcW w:type="dxa" w:w="2366"/>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Intérêt légitime</w:t>
            </w:r>
          </w:p>
        </w:tc>
      </w:tr>
      <w:tr>
        <w:tc>
          <w:tcPr>
            <w:tcW w:type="dxa" w:w="38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Respect des obligations légales, réponse aux autorités</w:t>
            </w:r>
          </w:p>
        </w:tc>
        <w:tc>
          <w:tcPr>
            <w:tcW w:type="dxa" w:w="34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Toutes catégories selon le cas</w:t>
            </w:r>
          </w:p>
        </w:tc>
        <w:tc>
          <w:tcPr>
            <w:tcW w:type="dxa" w:w="2366"/>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Obligation légale</w:t>
            </w:r>
          </w:p>
        </w:tc>
      </w:tr>
    </w:tbl>
    <w:p>
      <w:pPr>
        <w:keepNext/>
        <w:pBdr>
          <w:bottom w:val="single" w:color="F8A890" w:sz="12" w:space="4"/>
        </w:pBdr>
        <w:spacing w:after="150" w:before="280"/>
      </w:pPr>
      <w:r>
        <w:rPr>
          <w:rFonts w:ascii="Arial" w:cs="Arial" w:eastAsia="Arial" w:hAnsi="Arial"/>
          <w:b/>
          <w:bCs/>
          <w:color w:val="1C608C"/>
          <w:sz w:val="24"/>
          <w:szCs w:val="24"/>
        </w:rPr>
        <w:t xml:space="preserve">6 - DESTINATAIRES ET SOUS-TRAITANTS</w:t>
      </w:r>
    </w:p>
    <w:p>
      <w:pPr>
        <w:keepNext/>
        <w:spacing w:after="70" w:before="160"/>
      </w:pPr>
      <w:r>
        <w:rPr>
          <w:rFonts w:ascii="Arial" w:cs="Arial" w:eastAsia="Arial" w:hAnsi="Arial"/>
          <w:b/>
          <w:bCs/>
          <w:color w:val="1C608C"/>
          <w:sz w:val="20"/>
          <w:szCs w:val="20"/>
        </w:rPr>
        <w:t xml:space="preserve">6.1 Accès internes</w:t>
      </w:r>
    </w:p>
    <w:p>
      <w:pPr>
        <w:spacing w:after="120" w:before="0" w:line="276"/>
        <w:jc w:val="both"/>
      </w:pPr>
      <w:r>
        <w:rPr>
          <w:rFonts w:ascii="Arial" w:cs="Arial" w:eastAsia="Arial" w:hAnsi="Arial"/>
          <w:b w:val="false"/>
          <w:bCs w:val="false"/>
          <w:i w:val="false"/>
          <w:iCs w:val="false"/>
          <w:color w:val="2B2B2B"/>
          <w:sz w:val="22"/>
          <w:szCs w:val="22"/>
        </w:rPr>
        <w:t xml:space="preserve">Au sein de C&amp;Co Formation, seul le Gérant accède aux données, pour l'administration, la facturation et le support.</w:t>
      </w:r>
    </w:p>
    <w:p>
      <w:pPr>
        <w:keepNext/>
        <w:spacing w:after="70" w:before="160"/>
      </w:pPr>
      <w:r>
        <w:rPr>
          <w:rFonts w:ascii="Arial" w:cs="Arial" w:eastAsia="Arial" w:hAnsi="Arial"/>
          <w:b/>
          <w:bCs/>
          <w:color w:val="1C608C"/>
          <w:sz w:val="20"/>
          <w:szCs w:val="20"/>
        </w:rPr>
        <w:t xml:space="preserve">6.2 Prestataires</w:t>
      </w:r>
    </w:p>
    <w:tbl>
      <w:tblPr>
        <w:tblW w:type="dxa" w:w="9566"/>
        <w:tblBorders>
          <w:top w:val="single" w:color="auto" w:sz="4"/>
          <w:left w:val="single" w:color="auto" w:sz="4"/>
          <w:bottom w:val="single" w:color="auto" w:sz="4"/>
          <w:right w:val="single" w:color="auto" w:sz="4"/>
          <w:insideH w:val="single" w:color="auto" w:sz="4"/>
          <w:insideV w:val="single" w:color="auto" w:sz="4"/>
        </w:tblBorders>
      </w:tblPr>
      <w:tblGrid>
        <w:gridCol w:w="2600"/>
        <w:gridCol w:w="3600"/>
        <w:gridCol w:w="3366"/>
      </w:tblGrid>
      <w:tr>
        <w:trPr>
          <w:tblHeader/>
        </w:trPr>
        <w:tc>
          <w:tcPr>
            <w:tcW w:type="dxa" w:w="2600"/>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Prestataire</w:t>
            </w:r>
          </w:p>
        </w:tc>
        <w:tc>
          <w:tcPr>
            <w:tcW w:type="dxa" w:w="3600"/>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Rôle</w:t>
            </w:r>
          </w:p>
        </w:tc>
        <w:tc>
          <w:tcPr>
            <w:tcW w:type="dxa" w:w="3366"/>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Localisation et garanties</w:t>
            </w:r>
          </w:p>
        </w:tc>
      </w:tr>
      <w:tr>
        <w:tc>
          <w:tcPr>
            <w:tcW w:type="dxa" w:w="26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OVH SAS</w:t>
            </w:r>
          </w:p>
        </w:tc>
        <w:tc>
          <w:tcPr>
            <w:tcW w:type="dxa" w:w="36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Hébergement des serveurs et des sauvegardes</w:t>
            </w:r>
          </w:p>
        </w:tc>
        <w:tc>
          <w:tcPr>
            <w:tcW w:type="dxa" w:w="3366"/>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France - aucun transfert hors UE</w:t>
            </w:r>
          </w:p>
        </w:tc>
      </w:tr>
      <w:tr>
        <w:tc>
          <w:tcPr>
            <w:tcW w:type="dxa" w:w="26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Stripe</w:t>
            </w:r>
          </w:p>
        </w:tc>
        <w:tc>
          <w:tcPr>
            <w:tcW w:type="dxa" w:w="36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Paiements et gestion des moyens de paiement</w:t>
            </w:r>
          </w:p>
        </w:tc>
        <w:tc>
          <w:tcPr>
            <w:tcW w:type="dxa" w:w="3366"/>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UE / États-Unis - clauses contractuelles types, Data Privacy Framework</w:t>
            </w:r>
          </w:p>
        </w:tc>
      </w:tr>
      <w:tr>
        <w:tc>
          <w:tcPr>
            <w:tcW w:type="dxa" w:w="26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Anthropic et OpenAI</w:t>
            </w:r>
          </w:p>
        </w:tc>
        <w:tc>
          <w:tcPr>
            <w:tcW w:type="dxa" w:w="36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Modèles d'intelligence artificielle de l'assistant (par API, sans entraînement sur vos données)</w:t>
            </w:r>
          </w:p>
        </w:tc>
        <w:tc>
          <w:tcPr>
            <w:tcW w:type="dxa" w:w="3366"/>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UE / États-Unis - clauses contractuelles types, Data Privacy Framework</w:t>
            </w:r>
          </w:p>
        </w:tc>
      </w:tr>
      <w:tr>
        <w:tc>
          <w:tcPr>
            <w:tcW w:type="dxa" w:w="26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Google Ireland Ltd (Google Analytics)</w:t>
            </w:r>
          </w:p>
        </w:tc>
        <w:tc>
          <w:tcPr>
            <w:tcW w:type="dxa" w:w="36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Mesure d'audience du site et de l'application, avec votre consentement</w:t>
            </w:r>
          </w:p>
        </w:tc>
        <w:tc>
          <w:tcPr>
            <w:tcW w:type="dxa" w:w="3366"/>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UE / États-Unis - Data Privacy Framework, anonymisation des adresses IP</w:t>
            </w:r>
          </w:p>
        </w:tc>
      </w:tr>
      <w:tr>
        <w:tc>
          <w:tcPr>
            <w:tcW w:type="dxa" w:w="26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Microsoft Ireland (Microsoft 365)</w:t>
            </w:r>
          </w:p>
        </w:tc>
        <w:tc>
          <w:tcPr>
            <w:tcW w:type="dxa" w:w="36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Messagerie professionnelle et support</w:t>
            </w:r>
          </w:p>
        </w:tc>
        <w:tc>
          <w:tcPr>
            <w:tcW w:type="dxa" w:w="3366"/>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UE - clauses contractuelles types</w:t>
            </w:r>
          </w:p>
        </w:tc>
      </w:tr>
      <w:tr>
        <w:tc>
          <w:tcPr>
            <w:tcW w:type="dxa" w:w="26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Agence HDS - Harua Design Solutions</w:t>
            </w:r>
          </w:p>
        </w:tc>
        <w:tc>
          <w:tcPr>
            <w:tcW w:type="dxa" w:w="36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Développement et maintenance du Logiciel, support technique de niveau 2</w:t>
            </w:r>
          </w:p>
        </w:tc>
        <w:tc>
          <w:tcPr>
            <w:tcW w:type="dxa" w:w="3366"/>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France - contrat de sous-traitance et confidentialité</w:t>
            </w:r>
          </w:p>
        </w:tc>
      </w:tr>
    </w:tbl>
    <w:p>
      <w:pPr>
        <w:keepNext/>
        <w:spacing w:after="70" w:before="160"/>
      </w:pPr>
      <w:r>
        <w:rPr>
          <w:rFonts w:ascii="Arial" w:cs="Arial" w:eastAsia="Arial" w:hAnsi="Arial"/>
          <w:b/>
          <w:bCs/>
          <w:color w:val="1C608C"/>
          <w:sz w:val="20"/>
          <w:szCs w:val="20"/>
        </w:rPr>
        <w:t xml:space="preserve">6.3 Autres destinataires</w:t>
      </w:r>
    </w:p>
    <w:p>
      <w:pPr>
        <w:spacing w:after="120" w:before="0" w:line="276"/>
        <w:jc w:val="both"/>
      </w:pPr>
      <w:r>
        <w:rPr>
          <w:rFonts w:ascii="Arial" w:cs="Arial" w:eastAsia="Arial" w:hAnsi="Arial"/>
          <w:b w:val="false"/>
          <w:bCs w:val="false"/>
          <w:i w:val="false"/>
          <w:iCs w:val="false"/>
          <w:color w:val="2B2B2B"/>
          <w:sz w:val="22"/>
          <w:szCs w:val="22"/>
        </w:rPr>
        <w:t xml:space="preserve">Nos conseils (expert-comptable, avocat) tenus au secret professionnel, et les autorités administratives ou judiciaires lorsque la loi l'exige. Nous ne vendons ni ne louons jamais vos données.</w:t>
      </w:r>
    </w:p>
    <w:p>
      <w:pPr>
        <w:keepNext/>
        <w:pBdr>
          <w:bottom w:val="single" w:color="F8A890" w:sz="12" w:space="4"/>
        </w:pBdr>
        <w:spacing w:after="150" w:before="280"/>
      </w:pPr>
      <w:r>
        <w:rPr>
          <w:rFonts w:ascii="Arial" w:cs="Arial" w:eastAsia="Arial" w:hAnsi="Arial"/>
          <w:b/>
          <w:bCs/>
          <w:color w:val="1C608C"/>
          <w:sz w:val="24"/>
          <w:szCs w:val="24"/>
        </w:rPr>
        <w:t xml:space="preserve">7 - TRANSFERTS HORS UNION EUROPÉENNE</w:t>
      </w:r>
    </w:p>
    <w:p>
      <w:pPr>
        <w:spacing w:after="120" w:before="0" w:line="276"/>
        <w:jc w:val="both"/>
      </w:pPr>
      <w:r>
        <w:rPr>
          <w:rFonts w:ascii="Arial" w:cs="Arial" w:eastAsia="Arial" w:hAnsi="Arial"/>
          <w:b w:val="false"/>
          <w:bCs w:val="false"/>
          <w:i w:val="false"/>
          <w:iCs w:val="false"/>
          <w:color w:val="2B2B2B"/>
          <w:sz w:val="22"/>
          <w:szCs w:val="22"/>
        </w:rPr>
        <w:t xml:space="preserve">Vos données sont hébergées en France. Certains prestataires (Stripe, Anthropic, OpenAI, Google) peuvent traiter des données aux États-Unis. Ces transferts sont encadrés par la décision d'adéquation relative au Data Privacy Framework UE-États-Unis pour les entreprises certifiées et, à titre subsidiaire, par les clauses contractuelles types adoptées par la Commission européenne, complétées le cas échéant par des mesures supplémentaires. Vous pouvez en obtenir copie sur demande à support@solutionof.fr.</w:t>
      </w:r>
    </w:p>
    <w:p>
      <w:pPr>
        <w:keepNext/>
        <w:pBdr>
          <w:bottom w:val="single" w:color="F8A890" w:sz="12" w:space="4"/>
        </w:pBdr>
        <w:spacing w:after="150" w:before="280"/>
      </w:pPr>
      <w:r>
        <w:rPr>
          <w:rFonts w:ascii="Arial" w:cs="Arial" w:eastAsia="Arial" w:hAnsi="Arial"/>
          <w:b/>
          <w:bCs/>
          <w:color w:val="1C608C"/>
          <w:sz w:val="24"/>
          <w:szCs w:val="24"/>
        </w:rPr>
        <w:t xml:space="preserve">8 - DURÉES DE CONSERVATION</w:t>
      </w:r>
    </w:p>
    <w:tbl>
      <w:tblPr>
        <w:tblW w:type="dxa" w:w="9566"/>
        <w:tblBorders>
          <w:top w:val="single" w:color="auto" w:sz="4"/>
          <w:left w:val="single" w:color="auto" w:sz="4"/>
          <w:bottom w:val="single" w:color="auto" w:sz="4"/>
          <w:right w:val="single" w:color="auto" w:sz="4"/>
          <w:insideH w:val="single" w:color="auto" w:sz="4"/>
          <w:insideV w:val="single" w:color="auto" w:sz="4"/>
        </w:tblBorders>
      </w:tblPr>
      <w:tblGrid>
        <w:gridCol w:w="4800"/>
        <w:gridCol w:w="4766"/>
      </w:tblGrid>
      <w:tr>
        <w:trPr>
          <w:tblHeader/>
        </w:trPr>
        <w:tc>
          <w:tcPr>
            <w:tcW w:type="dxa" w:w="4800"/>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Catégorie</w:t>
            </w:r>
          </w:p>
        </w:tc>
        <w:tc>
          <w:tcPr>
            <w:tcW w:type="dxa" w:w="4766"/>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Durée</w:t>
            </w:r>
          </w:p>
        </w:tc>
      </w:tr>
      <w:tr>
        <w:tc>
          <w:tcPr>
            <w:tcW w:type="dxa" w:w="48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Compte client et Utilisateurs</w:t>
            </w:r>
          </w:p>
        </w:tc>
        <w:tc>
          <w:tcPr>
            <w:tcW w:type="dxa" w:w="4766"/>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Durée du contrat, puis 30 jours de réversibilité, puis suppression (sauvegardes purgées sous 90 jours)</w:t>
            </w:r>
          </w:p>
        </w:tc>
      </w:tr>
      <w:tr>
        <w:tc>
          <w:tcPr>
            <w:tcW w:type="dxa" w:w="48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Factures et pièces comptables</w:t>
            </w:r>
          </w:p>
        </w:tc>
        <w:tc>
          <w:tcPr>
            <w:tcW w:type="dxa" w:w="4766"/>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10 ans (article L.123-22 du Code de commerce)</w:t>
            </w:r>
          </w:p>
        </w:tc>
      </w:tr>
      <w:tr>
        <w:tc>
          <w:tcPr>
            <w:tcW w:type="dxa" w:w="48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Preuve d'acceptation des CGV / CGU / DPA</w:t>
            </w:r>
          </w:p>
        </w:tc>
        <w:tc>
          <w:tcPr>
            <w:tcW w:type="dxa" w:w="4766"/>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5 ans après la fin du contrat (prescription)</w:t>
            </w:r>
          </w:p>
        </w:tc>
      </w:tr>
      <w:tr>
        <w:tc>
          <w:tcPr>
            <w:tcW w:type="dxa" w:w="48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Journaux de connexion et d'actions</w:t>
            </w:r>
          </w:p>
        </w:tc>
        <w:tc>
          <w:tcPr>
            <w:tcW w:type="dxa" w:w="4766"/>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12 mois (recommandation CNIL), sauf incident de sécurité</w:t>
            </w:r>
          </w:p>
        </w:tc>
      </w:tr>
      <w:tr>
        <w:tc>
          <w:tcPr>
            <w:tcW w:type="dxa" w:w="48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Prospects et demandes de contact</w:t>
            </w:r>
          </w:p>
        </w:tc>
        <w:tc>
          <w:tcPr>
            <w:tcW w:type="dxa" w:w="4766"/>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3 ans après le dernier contact</w:t>
            </w:r>
          </w:p>
        </w:tc>
      </w:tr>
      <w:tr>
        <w:tc>
          <w:tcPr>
            <w:tcW w:type="dxa" w:w="48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Cookies de mesure d'audience</w:t>
            </w:r>
          </w:p>
        </w:tc>
        <w:tc>
          <w:tcPr>
            <w:tcW w:type="dxa" w:w="4766"/>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13 mois maximum ; données de mesure 25 mois maximum</w:t>
            </w:r>
          </w:p>
        </w:tc>
      </w:tr>
      <w:tr>
        <w:tc>
          <w:tcPr>
            <w:tcW w:type="dxa" w:w="48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Échanges support</w:t>
            </w:r>
          </w:p>
        </w:tc>
        <w:tc>
          <w:tcPr>
            <w:tcW w:type="dxa" w:w="4766"/>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3 ans après la clôture de la demande</w:t>
            </w:r>
          </w:p>
        </w:tc>
      </w:tr>
    </w:tbl>
    <w:p>
      <w:pPr>
        <w:keepNext/>
        <w:pBdr>
          <w:bottom w:val="single" w:color="F8A890" w:sz="12" w:space="4"/>
        </w:pBdr>
        <w:spacing w:after="150" w:before="280"/>
      </w:pPr>
      <w:r>
        <w:rPr>
          <w:rFonts w:ascii="Arial" w:cs="Arial" w:eastAsia="Arial" w:hAnsi="Arial"/>
          <w:b/>
          <w:bCs/>
          <w:color w:val="1C608C"/>
          <w:sz w:val="24"/>
          <w:szCs w:val="24"/>
        </w:rPr>
        <w:t xml:space="preserve">9 - DONNÉES SAISIES PAR NOS CLIENTS (APPRENANTS, FORMATEURS, CONTACTS)</w:t>
      </w:r>
    </w:p>
    <w:p>
      <w:pPr>
        <w:spacing w:after="120" w:before="0" w:line="276"/>
        <w:jc w:val="both"/>
      </w:pPr>
      <w:r>
        <w:rPr>
          <w:rFonts w:ascii="Arial" w:cs="Arial" w:eastAsia="Arial" w:hAnsi="Arial"/>
          <w:b w:val="false"/>
          <w:bCs w:val="false"/>
          <w:i w:val="false"/>
          <w:iCs w:val="false"/>
          <w:color w:val="2B2B2B"/>
          <w:sz w:val="22"/>
          <w:szCs w:val="22"/>
        </w:rPr>
        <w:t xml:space="preserve">Si vous êtes apprenant, formateur, ou interlocuteur d'un organisme de formation qui utilise Solution OF, vos données ont été saisies par cet organisme, qui en est responsable de traitement. Nous les hébergeons et les traitons pour son compte, sur ses instructions, sans les utiliser pour notre propre compte et sans les vendre. Pour exercer vos droits ou obtenir des informations sur ce traitement, adressez-vous en priorité à cet organisme ; si vous nous contactez directement, nous transmettrons votre demande sans délai et l'assisterons dans sa réponse.</w:t>
      </w:r>
    </w:p>
    <w:p>
      <w:pPr>
        <w:spacing w:after="120" w:before="0" w:line="276"/>
        <w:jc w:val="both"/>
      </w:pPr>
      <w:r>
        <w:rPr>
          <w:rFonts w:ascii="Arial" w:cs="Arial" w:eastAsia="Arial" w:hAnsi="Arial"/>
          <w:b w:val="false"/>
          <w:bCs w:val="false"/>
          <w:i w:val="false"/>
          <w:iCs w:val="false"/>
          <w:color w:val="2B2B2B"/>
          <w:sz w:val="22"/>
          <w:szCs w:val="22"/>
        </w:rPr>
        <w:t xml:space="preserve">Lorsque l'organisme utilise l'assistant d'intelligence artificielle du Logiciel, certaines données peuvent être transmises par API à nos prestataires Anthropic et OpenAI pour générer un contenu, sans être utilisées pour entraîner leurs modèles et avec une conservation limitée aux besoins de sécurité. L'organisme peut désactiver cette fonctionnalité.</w:t>
      </w:r>
    </w:p>
    <w:p>
      <w:pPr>
        <w:keepNext/>
        <w:pBdr>
          <w:bottom w:val="single" w:color="F8A890" w:sz="12" w:space="4"/>
        </w:pBdr>
        <w:spacing w:after="150" w:before="280"/>
      </w:pPr>
      <w:r>
        <w:rPr>
          <w:rFonts w:ascii="Arial" w:cs="Arial" w:eastAsia="Arial" w:hAnsi="Arial"/>
          <w:b/>
          <w:bCs/>
          <w:color w:val="1C608C"/>
          <w:sz w:val="24"/>
          <w:szCs w:val="24"/>
        </w:rPr>
        <w:t xml:space="preserve">10 - SÉCURITÉ</w:t>
      </w:r>
    </w:p>
    <w:p>
      <w:pPr>
        <w:spacing w:after="120" w:before="0" w:line="276"/>
        <w:jc w:val="both"/>
      </w:pPr>
      <w:r>
        <w:rPr>
          <w:rFonts w:ascii="Arial" w:cs="Arial" w:eastAsia="Arial" w:hAnsi="Arial"/>
          <w:b w:val="false"/>
          <w:bCs w:val="false"/>
          <w:i w:val="false"/>
          <w:iCs w:val="false"/>
          <w:color w:val="2B2B2B"/>
          <w:sz w:val="22"/>
          <w:szCs w:val="22"/>
        </w:rPr>
        <w:t xml:space="preserve">Nous mettons en œuvre des mesures techniques et organisationnelles adaptées : hébergement en France sur infrastructure dédiée, chiffrement des communications et des données au repos, authentification robuste avec double authentification, cloisonnement des données entre clients, sauvegardes quotidiennes chiffrées, journalisation, mises à jour de sécurité, accès administrateur restreint et tracé. En cas de violation de données susceptible d'engendrer un risque pour vos droits, nous notifions la CNIL sous 72 heures et vous informons lorsque la loi l'exige.</w:t>
      </w:r>
    </w:p>
    <w:p>
      <w:pPr>
        <w:keepNext/>
        <w:pBdr>
          <w:bottom w:val="single" w:color="F8A890" w:sz="12" w:space="4"/>
        </w:pBdr>
        <w:spacing w:after="150" w:before="280"/>
      </w:pPr>
      <w:r>
        <w:rPr>
          <w:rFonts w:ascii="Arial" w:cs="Arial" w:eastAsia="Arial" w:hAnsi="Arial"/>
          <w:b/>
          <w:bCs/>
          <w:color w:val="1C608C"/>
          <w:sz w:val="24"/>
          <w:szCs w:val="24"/>
        </w:rPr>
        <w:t xml:space="preserve">11 - VOS DROITS</w:t>
      </w:r>
    </w:p>
    <w:p>
      <w:pPr>
        <w:spacing w:after="120" w:before="0" w:line="276"/>
        <w:jc w:val="both"/>
      </w:pPr>
      <w:r>
        <w:rPr>
          <w:rFonts w:ascii="Arial" w:cs="Arial" w:eastAsia="Arial" w:hAnsi="Arial"/>
          <w:b w:val="false"/>
          <w:bCs w:val="false"/>
          <w:i w:val="false"/>
          <w:iCs w:val="false"/>
          <w:color w:val="2B2B2B"/>
          <w:sz w:val="22"/>
          <w:szCs w:val="22"/>
        </w:rPr>
        <w:t xml:space="preserve">Vous disposez des droits d'accès, de rectification, d'effacement, de limitation du traitement, de portabilité et d'opposition (notamment à la prospection), ainsi que du droit de retirer votre consentement à tout moment et de définir des directives relatives au sort de vos données après votre décès. Pour les exercer, écrivez à support@solutionof.fr ou à 340 chemin du plan marseillais, 13320 Bouc-Bel-Air en précisant votre demande ; une preuve d'identité peut vous être demandée en cas de doute raisonnable. Nous répondons dans un délai d'un (1) mois, prolongeable de deux (2) mois en cas de demande complexe. Vous pouvez introduire une réclamation auprès de la CNIL (www.cnil.fr - 3 place de Fontenoy, TSA 80715, 75334 Paris Cedex 07).</w:t>
      </w:r>
    </w:p>
    <w:p>
      <w:pPr>
        <w:keepNext/>
        <w:pBdr>
          <w:bottom w:val="single" w:color="F8A890" w:sz="12" w:space="4"/>
        </w:pBdr>
        <w:spacing w:after="150" w:before="280"/>
      </w:pPr>
      <w:r>
        <w:rPr>
          <w:rFonts w:ascii="Arial" w:cs="Arial" w:eastAsia="Arial" w:hAnsi="Arial"/>
          <w:b/>
          <w:bCs/>
          <w:color w:val="1C608C"/>
          <w:sz w:val="24"/>
          <w:szCs w:val="24"/>
        </w:rPr>
        <w:t xml:space="preserve">12 - COOKIES</w:t>
      </w:r>
    </w:p>
    <w:p>
      <w:pPr>
        <w:spacing w:after="120" w:before="0" w:line="276"/>
        <w:jc w:val="both"/>
      </w:pPr>
      <w:r>
        <w:rPr>
          <w:rFonts w:ascii="Arial" w:cs="Arial" w:eastAsia="Arial" w:hAnsi="Arial"/>
          <w:b w:val="false"/>
          <w:bCs w:val="false"/>
          <w:i w:val="false"/>
          <w:iCs w:val="false"/>
          <w:color w:val="2B2B2B"/>
          <w:sz w:val="22"/>
          <w:szCs w:val="22"/>
        </w:rPr>
        <w:t xml:space="preserve">Le site et l'application utilisent des cookies strictement nécessaires (session, sécurité, préférences) qui ne requièrent pas votre consentement, et des cookies de mesure d'audience Google Analytics déposés uniquement avec votre consentement, que vous pouvez donner, refuser ou retirer à tout moment via le bandeau ou le lien « Gérer mes cookies ». Le détail figure dans notre Politique de cookies.</w:t>
      </w:r>
    </w:p>
    <w:p>
      <w:pPr>
        <w:keepNext/>
        <w:pBdr>
          <w:bottom w:val="single" w:color="F8A890" w:sz="12" w:space="4"/>
        </w:pBdr>
        <w:spacing w:after="150" w:before="280"/>
      </w:pPr>
      <w:r>
        <w:rPr>
          <w:rFonts w:ascii="Arial" w:cs="Arial" w:eastAsia="Arial" w:hAnsi="Arial"/>
          <w:b/>
          <w:bCs/>
          <w:color w:val="1C608C"/>
          <w:sz w:val="24"/>
          <w:szCs w:val="24"/>
        </w:rPr>
        <w:t xml:space="preserve">13 - MISE À JOUR DE LA POLITIQUE</w:t>
      </w:r>
    </w:p>
    <w:p>
      <w:pPr>
        <w:spacing w:after="120" w:before="0" w:line="276"/>
        <w:jc w:val="both"/>
      </w:pPr>
      <w:r>
        <w:rPr>
          <w:rFonts w:ascii="Arial" w:cs="Arial" w:eastAsia="Arial" w:hAnsi="Arial"/>
          <w:b w:val="false"/>
          <w:bCs w:val="false"/>
          <w:i w:val="false"/>
          <w:iCs w:val="false"/>
          <w:color w:val="2B2B2B"/>
          <w:sz w:val="22"/>
          <w:szCs w:val="22"/>
        </w:rPr>
        <w:t xml:space="preserve">Nous pouvons modifier la présente Politique pour refléter l'évolution du Logiciel, de nos prestataires ou de la réglementation. La version en vigueur, datée, est publiée sur solutionof.fr ; en cas de modification substantielle, les Clients sont informés par e-mail ou par notification dans le Logiciel.</w:t>
      </w:r>
    </w:p>
    <w:p>
      <w:pPr>
        <w:keepNext/>
        <w:pBdr>
          <w:bottom w:val="single" w:color="F8A890" w:sz="12" w:space="4"/>
        </w:pBdr>
        <w:spacing w:after="150" w:before="280"/>
      </w:pPr>
      <w:r>
        <w:rPr>
          <w:rFonts w:ascii="Arial" w:cs="Arial" w:eastAsia="Arial" w:hAnsi="Arial"/>
          <w:b/>
          <w:bCs/>
          <w:color w:val="1C608C"/>
          <w:sz w:val="24"/>
          <w:szCs w:val="24"/>
        </w:rPr>
        <w:t xml:space="preserve">14 - DOCUMENTS COMPLÉMENTAIRES</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Conditions Générales de Vente et d'Abonnement (CGV-SOF-2026-001)</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Conditions Générales d'Utilisation (CGU-SOF-2026-001)</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Accord de traitement des données (DPA-SOF-2026-001)</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Politique de cookies (COOK-SOF-2026-001)</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Mentions légales (ML-SOF-2026-001)</w:t>
      </w:r>
    </w:p>
    <w:p>
      <w:pPr>
        <w:spacing w:after="100"/>
      </w:pPr>
      <w:r>
        <w:rPr>
          <w:rFonts w:ascii="Arial" w:cs="Arial" w:eastAsia="Arial" w:hAnsi="Arial"/>
          <w:b w:val="false"/>
          <w:bCs w:val="false"/>
          <w:i w:val="false"/>
          <w:iCs w:val="false"/>
          <w:color w:val="2B2B2B"/>
          <w:sz w:val="22"/>
          <w:szCs w:val="22"/>
        </w:rPr>
        <w:t xml:space="preserve"> </w:t>
      </w:r>
    </w:p>
    <w:p>
      <w:pPr>
        <w:spacing w:after="120" w:before="0" w:line="276"/>
        <w:jc w:val="both"/>
      </w:pPr>
      <w:r>
        <w:rPr>
          <w:rFonts w:ascii="Arial" w:cs="Arial" w:eastAsia="Arial" w:hAnsi="Arial"/>
          <w:b w:val="false"/>
          <w:bCs w:val="false"/>
          <w:i/>
          <w:iCs/>
          <w:color w:val="6B7680"/>
          <w:sz w:val="19"/>
          <w:szCs w:val="19"/>
        </w:rPr>
        <w:t xml:space="preserve">Version 1.0 du 4 septembre 2026 - C&amp;Co Formation - support@solutionof.fr</w:t>
      </w:r>
    </w:p>
    <w:sectPr>
      <w:footerReference w:type="default" r:id="rId7"/>
      <w:pgSz w:w="11906" w:h="16838" w:orient="portrait"/>
      <w:pgMar w:top="1080" w:right="1170" w:bottom="1080" w:left="1170" w:header="708" w:footer="283"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8A890" w:sz="6" w:space="6"/>
      </w:pBdr>
      <w:spacing w:before="40"/>
      <w:jc w:val="center"/>
    </w:pPr>
    <w:r>
      <w:rPr>
        <w:rFonts w:ascii="Arial" w:cs="Arial" w:eastAsia="Arial" w:hAnsi="Arial"/>
        <w:color w:val="6B7680"/>
        <w:sz w:val="16"/>
        <w:szCs w:val="16"/>
      </w:rPr>
      <w:t xml:space="preserve">Solution OF - édité par C&amp;Co Formation - SARL au capital de 1 000 € - SIRET 933 631 855 00014 - RCS Aix-en-Provence - support@solutionof.fr   |   Page </w:t>
    </w:r>
    <w:r>
      <w:rPr>
        <w:rFonts w:ascii="Arial" w:cs="Arial" w:eastAsia="Arial" w:hAnsi="Arial"/>
        <w:color w:val="6B76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rFonts w:ascii="Arial" w:cs="Arial" w:eastAsia="Arial" w:hAnsi="Arial"/>
        <w:color w:val="F0936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B2B2B"/>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7510a3076168f537f5132163a14d66af0a4471f.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POLITIQUE DE CONFIDENTIALITÉ - Solution OF</dc:title>
  <dc:creator>C&amp;Co Formation</dc:creator>
  <cp:lastModifiedBy>Un-named</cp:lastModifiedBy>
  <cp:revision>1</cp:revision>
  <dcterms:created xsi:type="dcterms:W3CDTF">2026-09-04T10:33:42.103Z</dcterms:created>
  <dcterms:modified xsi:type="dcterms:W3CDTF">2026-09-04T10:33:42.103Z</dcterms:modified>
</cp:coreProperties>
</file>

<file path=docProps/custom.xml><?xml version="1.0" encoding="utf-8"?>
<Properties xmlns="http://schemas.openxmlformats.org/officeDocument/2006/custom-properties" xmlns:vt="http://schemas.openxmlformats.org/officeDocument/2006/docPropsVTypes"/>
</file>